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9" w:rsidRPr="009F1E49" w:rsidRDefault="009F1E49" w:rsidP="009F1E49">
      <w:pPr>
        <w:widowControl w:val="0"/>
        <w:autoSpaceDE w:val="0"/>
        <w:autoSpaceDN w:val="0"/>
        <w:spacing w:before="100" w:after="0" w:line="240" w:lineRule="auto"/>
        <w:outlineLvl w:val="6"/>
        <w:rPr>
          <w:rFonts w:ascii="Open Sans" w:eastAsia="Open Sans" w:hAnsi="Open Sans" w:cs="Open Sans"/>
          <w:b/>
          <w:bCs/>
          <w:sz w:val="28"/>
          <w:szCs w:val="28"/>
          <w:lang w:val="en-GB" w:eastAsia="en-GB" w:bidi="en-GB"/>
        </w:rPr>
      </w:pPr>
      <w:r w:rsidRPr="009F1E49">
        <w:rPr>
          <w:rFonts w:ascii="Open Sans" w:eastAsia="Open Sans" w:hAnsi="Open Sans" w:cs="Open Sans"/>
          <w:b/>
          <w:bCs/>
          <w:color w:val="E66B2C"/>
          <w:sz w:val="28"/>
          <w:szCs w:val="28"/>
          <w:lang w:val="en-GB" w:eastAsia="en-GB" w:bidi="en-GB"/>
        </w:rPr>
        <w:t xml:space="preserve">Appendix 4 – Protected Disclosures Report </w:t>
      </w:r>
    </w:p>
    <w:p w:rsidR="009F1E49" w:rsidRPr="009F1E49" w:rsidRDefault="009F1E49" w:rsidP="009F1E49">
      <w:pPr>
        <w:widowControl w:val="0"/>
        <w:autoSpaceDE w:val="0"/>
        <w:autoSpaceDN w:val="0"/>
        <w:spacing w:before="100" w:after="0" w:line="240" w:lineRule="auto"/>
        <w:outlineLvl w:val="6"/>
        <w:rPr>
          <w:rFonts w:ascii="Open Sans" w:eastAsia="Open Sans" w:hAnsi="Open Sans" w:cs="Open Sans"/>
          <w:b/>
          <w:bCs/>
          <w:color w:val="E66B2C"/>
          <w:sz w:val="28"/>
          <w:szCs w:val="28"/>
          <w:lang w:val="en-GB" w:eastAsia="en-GB" w:bidi="en-GB"/>
        </w:rPr>
      </w:pPr>
      <w:r w:rsidRPr="009F1E49">
        <w:rPr>
          <w:rFonts w:ascii="Open Sans" w:eastAsia="Open Sans" w:hAnsi="Open Sans" w:cs="Open Sans"/>
          <w:b/>
          <w:bCs/>
          <w:color w:val="E66B2C"/>
          <w:sz w:val="28"/>
          <w:szCs w:val="28"/>
          <w:lang w:val="en-GB" w:eastAsia="en-GB" w:bidi="en-GB"/>
        </w:rPr>
        <w:t xml:space="preserve"> </w:t>
      </w:r>
    </w:p>
    <w:p w:rsidR="009F1E49" w:rsidRPr="009F1E49" w:rsidRDefault="009F1E49" w:rsidP="009F1E49">
      <w:pPr>
        <w:widowControl w:val="0"/>
        <w:autoSpaceDE w:val="0"/>
        <w:autoSpaceDN w:val="0"/>
        <w:spacing w:before="3" w:after="0" w:line="240" w:lineRule="auto"/>
        <w:rPr>
          <w:rFonts w:ascii="Open Sans" w:eastAsia="Open Sans" w:hAnsi="Open Sans" w:cs="Open Sans"/>
          <w:sz w:val="21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ind w:left="712"/>
        <w:rPr>
          <w:rFonts w:ascii="Open Sans" w:eastAsia="Open Sans" w:hAnsi="Open Sans" w:cs="Open Sans"/>
          <w:sz w:val="20"/>
          <w:lang w:val="en-GB" w:eastAsia="en-GB" w:bidi="en-GB"/>
        </w:rPr>
      </w:pPr>
      <w:r w:rsidRPr="009F1E49">
        <w:rPr>
          <w:rFonts w:ascii="Open Sans" w:eastAsia="Open Sans" w:hAnsi="Open Sans" w:cs="Open Sans"/>
          <w:noProof/>
          <w:sz w:val="20"/>
          <w:lang w:eastAsia="en-IE"/>
        </w:rPr>
        <w:drawing>
          <wp:inline distT="0" distB="0" distL="0" distR="0" wp14:anchorId="59E091A3" wp14:editId="17400298">
            <wp:extent cx="4581525" cy="6953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Open Sans" w:eastAsia="Open Sans" w:hAnsi="Open Sans" w:cs="Open Sans"/>
          <w:sz w:val="20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Open Sans" w:eastAsia="Open Sans" w:hAnsi="Open Sans" w:cs="Open Sans"/>
          <w:sz w:val="20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Open Sans" w:eastAsia="Open Sans" w:hAnsi="Open Sans" w:cs="Open Sans"/>
          <w:sz w:val="20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Open Sans" w:eastAsia="Open Sans" w:hAnsi="Open Sans" w:cs="Open Sans"/>
          <w:sz w:val="20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360" w:lineRule="auto"/>
        <w:ind w:left="1191" w:right="-57" w:hanging="1191"/>
        <w:jc w:val="center"/>
        <w:outlineLvl w:val="0"/>
        <w:rPr>
          <w:rFonts w:ascii="Times New Roman" w:eastAsia="Open Sans SemiBold" w:hAnsi="Times New Roman" w:cs="Times New Roman"/>
          <w:b/>
          <w:sz w:val="40"/>
          <w:szCs w:val="40"/>
          <w:lang w:val="en-GB" w:eastAsia="en-GB" w:bidi="en-GB"/>
        </w:rPr>
      </w:pPr>
      <w:r w:rsidRPr="009F1E49">
        <w:rPr>
          <w:rFonts w:ascii="Times New Roman" w:eastAsia="Open Sans SemiBold" w:hAnsi="Times New Roman" w:cs="Times New Roman"/>
          <w:b/>
          <w:sz w:val="40"/>
          <w:szCs w:val="40"/>
          <w:lang w:val="en-GB" w:eastAsia="en-GB" w:bidi="en-GB"/>
        </w:rPr>
        <w:t>Protected Disclosures Act, 2014,</w: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360" w:lineRule="auto"/>
        <w:ind w:left="561" w:right="-57" w:hanging="561"/>
        <w:jc w:val="center"/>
        <w:outlineLvl w:val="0"/>
        <w:rPr>
          <w:rFonts w:ascii="Times New Roman" w:eastAsia="Open Sans SemiBold" w:hAnsi="Times New Roman" w:cs="Times New Roman"/>
          <w:b/>
          <w:sz w:val="40"/>
          <w:szCs w:val="40"/>
          <w:lang w:val="en-GB" w:eastAsia="en-GB" w:bidi="en-GB"/>
        </w:rPr>
      </w:pPr>
      <w:r w:rsidRPr="009F1E49">
        <w:rPr>
          <w:rFonts w:ascii="Times New Roman" w:eastAsia="Open Sans SemiBold" w:hAnsi="Times New Roman" w:cs="Times New Roman"/>
          <w:b/>
          <w:sz w:val="40"/>
          <w:szCs w:val="40"/>
          <w:lang w:val="en-GB" w:eastAsia="en-GB" w:bidi="en-GB"/>
        </w:rPr>
        <w:t>as Amended 2022,</w:t>
      </w:r>
    </w:p>
    <w:p w:rsidR="009F1E49" w:rsidRPr="009F1E49" w:rsidRDefault="009F1E49" w:rsidP="009F1E49">
      <w:pPr>
        <w:widowControl w:val="0"/>
        <w:autoSpaceDE w:val="0"/>
        <w:autoSpaceDN w:val="0"/>
        <w:spacing w:before="1" w:after="0" w:line="360" w:lineRule="auto"/>
        <w:ind w:right="-57"/>
        <w:jc w:val="center"/>
        <w:rPr>
          <w:rFonts w:ascii="Times New Roman" w:eastAsia="Open Sans" w:hAnsi="Times New Roman" w:cs="Times New Roman"/>
          <w:b/>
          <w:sz w:val="40"/>
          <w:lang w:val="en-GB" w:eastAsia="en-GB" w:bidi="en-GB"/>
        </w:rPr>
      </w:pPr>
      <w:r w:rsidRPr="009F1E49">
        <w:rPr>
          <w:rFonts w:ascii="Times New Roman" w:eastAsia="Open Sans" w:hAnsi="Times New Roman" w:cs="Times New Roman"/>
          <w:b/>
          <w:sz w:val="40"/>
          <w:lang w:val="en-GB" w:eastAsia="en-GB" w:bidi="en-GB"/>
        </w:rPr>
        <w:t xml:space="preserve">Annual Report </w: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Times New Roman" w:eastAsia="Open Sans" w:hAnsi="Times New Roman" w:cs="Times New Roman"/>
          <w:b/>
          <w:sz w:val="40"/>
          <w:lang w:val="en-GB" w:eastAsia="en-GB" w:bidi="en-GB"/>
        </w:rPr>
      </w:pPr>
      <w:r w:rsidRPr="009F1E49">
        <w:rPr>
          <w:rFonts w:ascii="Times New Roman" w:eastAsia="Open Sans" w:hAnsi="Times New Roman" w:cs="Times New Roman"/>
          <w:b/>
          <w:sz w:val="40"/>
          <w:lang w:val="en-GB" w:eastAsia="en-GB" w:bidi="en-GB"/>
        </w:rPr>
        <w:t>Disclosures Made to the Authority</w: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360" w:lineRule="auto"/>
        <w:ind w:right="57"/>
        <w:jc w:val="center"/>
        <w:rPr>
          <w:rFonts w:ascii="Open Sans" w:eastAsia="Open Sans" w:hAnsi="Open Sans" w:cs="Open Sans"/>
          <w:b/>
          <w:sz w:val="40"/>
          <w:lang w:val="en-GB" w:eastAsia="en-GB" w:bidi="en-GB"/>
        </w:rPr>
      </w:pPr>
    </w:p>
    <w:p w:rsidR="009F1E49" w:rsidRPr="009F1E49" w:rsidRDefault="009F1E49" w:rsidP="009F1E49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360" w:lineRule="auto"/>
        <w:ind w:left="839" w:right="113" w:hanging="357"/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</w:pPr>
      <w:r w:rsidRPr="009F1E49"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  <w:t>The Private Security Authority (PSA) is required under section 22(1) of the Protected Disclosures Act, 2014 to publish a report annually, relating to activity concerning protected disclosures made to the Authority under the</w:t>
      </w:r>
      <w:r w:rsidRPr="009F1E49">
        <w:rPr>
          <w:rFonts w:ascii="Times New Roman" w:eastAsia="Arial" w:hAnsi="Times New Roman" w:cs="Times New Roman"/>
          <w:spacing w:val="-24"/>
          <w:sz w:val="24"/>
          <w:szCs w:val="24"/>
          <w:lang w:val="en-GB" w:eastAsia="en-GB" w:bidi="en-GB"/>
        </w:rPr>
        <w:t xml:space="preserve"> </w:t>
      </w:r>
      <w:r w:rsidRPr="009F1E49"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  <w:t>Act.</w:t>
      </w:r>
    </w:p>
    <w:p w:rsidR="009F1E49" w:rsidRPr="009F1E49" w:rsidRDefault="009F1E49" w:rsidP="009F1E49">
      <w:pPr>
        <w:widowControl w:val="0"/>
        <w:autoSpaceDE w:val="0"/>
        <w:autoSpaceDN w:val="0"/>
        <w:spacing w:before="4"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</w:p>
    <w:p w:rsidR="009F1E49" w:rsidRPr="009F1E49" w:rsidRDefault="009F1E49" w:rsidP="009F1E49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4" w:after="0" w:line="360" w:lineRule="auto"/>
        <w:ind w:right="98" w:hanging="357"/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</w:pPr>
      <w:r w:rsidRPr="009F1E49"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  <w:t>During 2023, three complaints purporting to be protected disclosures were received by the Authority. The matters were reviewed in accordance</w:t>
      </w:r>
      <w:r w:rsidRPr="009F1E49">
        <w:rPr>
          <w:rFonts w:ascii="Times New Roman" w:eastAsia="Arial" w:hAnsi="Times New Roman" w:cs="Times New Roman"/>
          <w:spacing w:val="-31"/>
          <w:sz w:val="24"/>
          <w:szCs w:val="24"/>
          <w:lang w:val="en-GB" w:eastAsia="en-GB" w:bidi="en-GB"/>
        </w:rPr>
        <w:t xml:space="preserve"> </w:t>
      </w:r>
      <w:r w:rsidRPr="009F1E49"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  <w:t>with the PSA Protected Disclosures Policy. In two cases, an investigation</w:t>
      </w:r>
      <w:r w:rsidRPr="009F1E49">
        <w:rPr>
          <w:rFonts w:ascii="Times New Roman" w:eastAsia="Arial" w:hAnsi="Times New Roman" w:cs="Times New Roman"/>
          <w:spacing w:val="-16"/>
          <w:sz w:val="24"/>
          <w:szCs w:val="24"/>
          <w:lang w:val="en-GB" w:eastAsia="en-GB" w:bidi="en-GB"/>
        </w:rPr>
        <w:t xml:space="preserve"> </w:t>
      </w:r>
      <w:r w:rsidRPr="009F1E49">
        <w:rPr>
          <w:rFonts w:ascii="Times New Roman" w:eastAsia="Arial" w:hAnsi="Times New Roman" w:cs="Times New Roman"/>
          <w:sz w:val="24"/>
          <w:szCs w:val="24"/>
          <w:lang w:val="en-GB" w:eastAsia="en-GB" w:bidi="en-GB"/>
        </w:rPr>
        <w:t>was undertaken and has concluded. The other complaint did not fall within the remit of the PSA.</w: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  <w:r w:rsidRPr="009F1E49">
        <w:rPr>
          <w:rFonts w:ascii="Times New Roman" w:eastAsia="Open Sans" w:hAnsi="Times New Roman" w:cs="Times New Roman"/>
          <w:noProof/>
          <w:sz w:val="24"/>
          <w:szCs w:val="24"/>
          <w:lang w:eastAsia="en-IE"/>
        </w:rPr>
        <w:drawing>
          <wp:anchor distT="0" distB="0" distL="0" distR="0" simplePos="0" relativeHeight="251659264" behindDoc="0" locked="0" layoutInCell="1" allowOverlap="1" wp14:anchorId="0DB035AC" wp14:editId="3C07C0A8">
            <wp:simplePos x="0" y="0"/>
            <wp:positionH relativeFrom="page">
              <wp:posOffset>1466850</wp:posOffset>
            </wp:positionH>
            <wp:positionV relativeFrom="page">
              <wp:posOffset>7858125</wp:posOffset>
            </wp:positionV>
            <wp:extent cx="1365885" cy="466725"/>
            <wp:effectExtent l="0" t="0" r="5715" b="952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175260</wp:posOffset>
                </wp:positionV>
                <wp:extent cx="1981200" cy="1270"/>
                <wp:effectExtent l="0" t="0" r="0" b="0"/>
                <wp:wrapTopAndBottom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2154 2154"/>
                            <a:gd name="T1" fmla="*/ T0 w 3120"/>
                            <a:gd name="T2" fmla="+- 0 5274 215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7A1C" id="Freeform 13" o:spid="_x0000_s1026" style="position:absolute;margin-left:107.7pt;margin-top:13.8pt;width:1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g9w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247" w:lineRule="exact"/>
        <w:ind w:left="593" w:firstLine="247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  <w:r w:rsidRPr="009F1E49"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  <w:t>Paul Scallan</w: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ind w:left="593" w:firstLine="247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  <w:r w:rsidRPr="009F1E49"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  <w:t>Chief Executive</w:t>
      </w:r>
    </w:p>
    <w:p w:rsidR="009F1E49" w:rsidRPr="009F1E49" w:rsidRDefault="009F1E49" w:rsidP="009F1E49">
      <w:pPr>
        <w:widowControl w:val="0"/>
        <w:autoSpaceDE w:val="0"/>
        <w:autoSpaceDN w:val="0"/>
        <w:spacing w:after="0" w:line="240" w:lineRule="auto"/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</w:pPr>
    </w:p>
    <w:p w:rsidR="0039017E" w:rsidRDefault="009F1E49" w:rsidP="009F1E49">
      <w:pPr>
        <w:widowControl w:val="0"/>
        <w:autoSpaceDE w:val="0"/>
        <w:autoSpaceDN w:val="0"/>
        <w:spacing w:after="0" w:line="240" w:lineRule="auto"/>
        <w:ind w:left="593" w:firstLine="247"/>
      </w:pPr>
      <w:r w:rsidRPr="009F1E49">
        <w:rPr>
          <w:rFonts w:ascii="Times New Roman" w:eastAsia="Open Sans" w:hAnsi="Times New Roman" w:cs="Times New Roman"/>
          <w:sz w:val="24"/>
          <w:szCs w:val="24"/>
          <w:lang w:val="en-GB" w:eastAsia="en-GB" w:bidi="en-GB"/>
        </w:rPr>
        <w:t>29 February 2024</w:t>
      </w:r>
      <w:bookmarkStart w:id="0" w:name="_GoBack"/>
      <w:bookmarkEnd w:id="0"/>
    </w:p>
    <w:sectPr w:rsidR="0039017E" w:rsidSect="00390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5BD6"/>
    <w:multiLevelType w:val="hybridMultilevel"/>
    <w:tmpl w:val="E0AE3000"/>
    <w:lvl w:ilvl="0" w:tplc="D594425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IE" w:eastAsia="en-IE" w:bidi="en-IE"/>
      </w:rPr>
    </w:lvl>
    <w:lvl w:ilvl="1" w:tplc="2CA4D31C">
      <w:numFmt w:val="bullet"/>
      <w:lvlText w:val="•"/>
      <w:lvlJc w:val="left"/>
      <w:pPr>
        <w:ind w:left="1618" w:hanging="360"/>
      </w:pPr>
      <w:rPr>
        <w:lang w:val="en-IE" w:eastAsia="en-IE" w:bidi="en-IE"/>
      </w:rPr>
    </w:lvl>
    <w:lvl w:ilvl="2" w:tplc="8BCEDCD8">
      <w:numFmt w:val="bullet"/>
      <w:lvlText w:val="•"/>
      <w:lvlJc w:val="left"/>
      <w:pPr>
        <w:ind w:left="2397" w:hanging="360"/>
      </w:pPr>
      <w:rPr>
        <w:lang w:val="en-IE" w:eastAsia="en-IE" w:bidi="en-IE"/>
      </w:rPr>
    </w:lvl>
    <w:lvl w:ilvl="3" w:tplc="0F10257A">
      <w:numFmt w:val="bullet"/>
      <w:lvlText w:val="•"/>
      <w:lvlJc w:val="left"/>
      <w:pPr>
        <w:ind w:left="3175" w:hanging="360"/>
      </w:pPr>
      <w:rPr>
        <w:lang w:val="en-IE" w:eastAsia="en-IE" w:bidi="en-IE"/>
      </w:rPr>
    </w:lvl>
    <w:lvl w:ilvl="4" w:tplc="235CCB3C">
      <w:numFmt w:val="bullet"/>
      <w:lvlText w:val="•"/>
      <w:lvlJc w:val="left"/>
      <w:pPr>
        <w:ind w:left="3954" w:hanging="360"/>
      </w:pPr>
      <w:rPr>
        <w:lang w:val="en-IE" w:eastAsia="en-IE" w:bidi="en-IE"/>
      </w:rPr>
    </w:lvl>
    <w:lvl w:ilvl="5" w:tplc="347E373A">
      <w:numFmt w:val="bullet"/>
      <w:lvlText w:val="•"/>
      <w:lvlJc w:val="left"/>
      <w:pPr>
        <w:ind w:left="4733" w:hanging="360"/>
      </w:pPr>
      <w:rPr>
        <w:lang w:val="en-IE" w:eastAsia="en-IE" w:bidi="en-IE"/>
      </w:rPr>
    </w:lvl>
    <w:lvl w:ilvl="6" w:tplc="17907412">
      <w:numFmt w:val="bullet"/>
      <w:lvlText w:val="•"/>
      <w:lvlJc w:val="left"/>
      <w:pPr>
        <w:ind w:left="5511" w:hanging="360"/>
      </w:pPr>
      <w:rPr>
        <w:lang w:val="en-IE" w:eastAsia="en-IE" w:bidi="en-IE"/>
      </w:rPr>
    </w:lvl>
    <w:lvl w:ilvl="7" w:tplc="5A9CAB94">
      <w:numFmt w:val="bullet"/>
      <w:lvlText w:val="•"/>
      <w:lvlJc w:val="left"/>
      <w:pPr>
        <w:ind w:left="6290" w:hanging="360"/>
      </w:pPr>
      <w:rPr>
        <w:lang w:val="en-IE" w:eastAsia="en-IE" w:bidi="en-IE"/>
      </w:rPr>
    </w:lvl>
    <w:lvl w:ilvl="8" w:tplc="E90AB314">
      <w:numFmt w:val="bullet"/>
      <w:lvlText w:val="•"/>
      <w:lvlJc w:val="left"/>
      <w:pPr>
        <w:ind w:left="7069" w:hanging="360"/>
      </w:pPr>
      <w:rPr>
        <w:lang w:val="en-IE" w:eastAsia="en-IE" w:bidi="en-I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49"/>
    <w:rsid w:val="000444DC"/>
    <w:rsid w:val="00176BD9"/>
    <w:rsid w:val="001E03FB"/>
    <w:rsid w:val="001F54F5"/>
    <w:rsid w:val="00240A4E"/>
    <w:rsid w:val="0024431D"/>
    <w:rsid w:val="0039017E"/>
    <w:rsid w:val="003F2FC0"/>
    <w:rsid w:val="00615605"/>
    <w:rsid w:val="008B480B"/>
    <w:rsid w:val="009F1E49"/>
    <w:rsid w:val="00BB64FC"/>
    <w:rsid w:val="00D655C3"/>
    <w:rsid w:val="00D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2DF5604-6F80-4F41-ADC6-848C35D5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Department of Justice and Equality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Z. Liddy</dc:creator>
  <cp:keywords/>
  <dc:description/>
  <cp:lastModifiedBy>Daniel Z. Liddy</cp:lastModifiedBy>
  <cp:revision>1</cp:revision>
  <dcterms:created xsi:type="dcterms:W3CDTF">2024-05-24T13:45:00Z</dcterms:created>
  <dcterms:modified xsi:type="dcterms:W3CDTF">2024-05-24T13:46:00Z</dcterms:modified>
</cp:coreProperties>
</file>